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CC" w:rsidRPr="001F79CC" w:rsidRDefault="001F79CC" w:rsidP="001F79CC">
      <w:pPr>
        <w:spacing w:line="240" w:lineRule="auto"/>
        <w:jc w:val="right"/>
        <w:rPr>
          <w:rFonts w:ascii="Times New Roman" w:eastAsia="Times New Roman" w:hAnsi="Times New Roman" w:cs="Times New Roman"/>
          <w:color w:val="083857"/>
          <w:spacing w:val="-2"/>
          <w:sz w:val="26"/>
          <w:szCs w:val="26"/>
          <w:lang w:eastAsia="ru-RU"/>
        </w:rPr>
      </w:pPr>
      <w:r w:rsidRPr="001F79CC">
        <w:rPr>
          <w:rFonts w:ascii="Times New Roman" w:eastAsia="Times New Roman" w:hAnsi="Times New Roman" w:cs="Times New Roman"/>
          <w:color w:val="083857"/>
          <w:spacing w:val="-2"/>
          <w:sz w:val="26"/>
          <w:szCs w:val="26"/>
          <w:lang w:eastAsia="ru-RU"/>
        </w:rPr>
        <w:t>Приложение 2</w:t>
      </w:r>
    </w:p>
    <w:p w:rsidR="00850377" w:rsidRPr="008E6FA8" w:rsidRDefault="001F79CC" w:rsidP="00FC594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83857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83857"/>
          <w:spacing w:val="-2"/>
          <w:sz w:val="28"/>
          <w:szCs w:val="28"/>
          <w:lang w:eastAsia="ru-RU"/>
        </w:rPr>
        <w:t>Жи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83857"/>
          <w:spacing w:val="-2"/>
          <w:sz w:val="28"/>
          <w:szCs w:val="28"/>
          <w:lang w:eastAsia="ru-RU"/>
        </w:rPr>
        <w:t>лая застройка</w:t>
      </w:r>
    </w:p>
    <w:p w:rsidR="008E6FA8" w:rsidRPr="008E6FA8" w:rsidRDefault="008E6FA8" w:rsidP="008E6FA8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E6FA8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6E94358F" wp14:editId="46D7A4E3">
            <wp:extent cx="9505950" cy="4381500"/>
            <wp:effectExtent l="0" t="0" r="0" b="0"/>
            <wp:docPr id="1" name="Рисунок 1" descr="ЦВЕТОВОЕ РЕШЕНИЕ ФАСАДОВ 2-3-Х ЭТАЖНЫХ МНОГОКВАРТИРНЫХ ДО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ОВОЕ РЕШЕНИЕ ФАСАДОВ 2-3-Х ЭТАЖНЫХ МНОГОКВАРТИРНЫХ ДОМ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377" w:rsidRDefault="001F79CC" w:rsidP="000D4952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8385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83857"/>
          <w:spacing w:val="-2"/>
          <w:sz w:val="28"/>
          <w:szCs w:val="28"/>
          <w:lang w:eastAsia="ru-RU"/>
        </w:rPr>
        <w:t>Пример цветового решения</w:t>
      </w:r>
      <w:r w:rsidRPr="008E6FA8">
        <w:rPr>
          <w:rFonts w:ascii="Times New Roman" w:eastAsia="Times New Roman" w:hAnsi="Times New Roman" w:cs="Times New Roman"/>
          <w:b/>
          <w:color w:val="083857"/>
          <w:spacing w:val="-2"/>
          <w:sz w:val="28"/>
          <w:szCs w:val="28"/>
          <w:lang w:eastAsia="ru-RU"/>
        </w:rPr>
        <w:t xml:space="preserve"> фасадов многоквартирных домов</w:t>
      </w:r>
    </w:p>
    <w:p w:rsidR="00850377" w:rsidRDefault="00850377" w:rsidP="000D4952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83857"/>
          <w:sz w:val="28"/>
          <w:szCs w:val="28"/>
          <w:lang w:eastAsia="ru-RU"/>
        </w:rPr>
      </w:pPr>
    </w:p>
    <w:p w:rsidR="00850377" w:rsidRDefault="00850377" w:rsidP="000D4952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83857"/>
          <w:sz w:val="28"/>
          <w:szCs w:val="28"/>
          <w:lang w:eastAsia="ru-RU"/>
        </w:rPr>
      </w:pPr>
    </w:p>
    <w:p w:rsidR="00850377" w:rsidRDefault="00850377" w:rsidP="000D4952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83857"/>
          <w:sz w:val="28"/>
          <w:szCs w:val="28"/>
          <w:lang w:eastAsia="ru-RU"/>
        </w:rPr>
      </w:pPr>
    </w:p>
    <w:p w:rsidR="00850377" w:rsidRDefault="00850377" w:rsidP="000D4952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83857"/>
          <w:sz w:val="28"/>
          <w:szCs w:val="28"/>
          <w:lang w:eastAsia="ru-RU"/>
        </w:rPr>
      </w:pPr>
    </w:p>
    <w:p w:rsidR="00850377" w:rsidRDefault="00850377" w:rsidP="00FC5943">
      <w:pPr>
        <w:spacing w:after="18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83857"/>
          <w:sz w:val="28"/>
          <w:szCs w:val="28"/>
          <w:lang w:eastAsia="ru-RU"/>
        </w:rPr>
      </w:pPr>
    </w:p>
    <w:p w:rsidR="008E6FA8" w:rsidRPr="008E6FA8" w:rsidRDefault="00FC5943" w:rsidP="008E6FA8">
      <w:pPr>
        <w:spacing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8385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83857"/>
          <w:sz w:val="28"/>
          <w:szCs w:val="28"/>
          <w:lang w:eastAsia="ru-RU"/>
        </w:rPr>
        <w:lastRenderedPageBreak/>
        <w:t>вариант 1</w:t>
      </w:r>
    </w:p>
    <w:p w:rsidR="008E6FA8" w:rsidRPr="008E6FA8" w:rsidRDefault="008E6FA8" w:rsidP="00FC5943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E6FA8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6245D1BE" wp14:editId="2B8C4329">
            <wp:extent cx="9048750" cy="2609850"/>
            <wp:effectExtent l="0" t="0" r="0" b="0"/>
            <wp:docPr id="2" name="Рисунок 2" descr="ТАБЛИЦА КОЛЕРОВ ЦВЕТОВОГО РЕШЕНИЯ ЭЛЕМЕНТОВ ФА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 КОЛЕРОВ ЦВЕТОВОГО РЕШЕНИЯ ЭЛЕМЕНТОВ ФАСАД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43" w:rsidRDefault="00FC5943" w:rsidP="00FC5943">
      <w:pPr>
        <w:pStyle w:val="a6"/>
        <w:spacing w:before="0" w:beforeAutospacing="0" w:after="0" w:afterAutospacing="0" w:line="360" w:lineRule="auto"/>
        <w:ind w:firstLine="426"/>
        <w:jc w:val="both"/>
        <w:rPr>
          <w:rStyle w:val="a7"/>
          <w:color w:val="000000"/>
          <w:sz w:val="28"/>
          <w:szCs w:val="28"/>
          <w:bdr w:val="none" w:sz="0" w:space="0" w:color="auto" w:frame="1"/>
        </w:rPr>
      </w:pPr>
    </w:p>
    <w:p w:rsidR="00FC5943" w:rsidRPr="00FC5943" w:rsidRDefault="00FC5943" w:rsidP="00FC5943">
      <w:pPr>
        <w:pStyle w:val="a6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FC5943">
        <w:rPr>
          <w:rStyle w:val="a7"/>
          <w:color w:val="000000"/>
          <w:sz w:val="28"/>
          <w:szCs w:val="28"/>
          <w:bdr w:val="none" w:sz="0" w:space="0" w:color="auto" w:frame="1"/>
        </w:rPr>
        <w:t>Примечание:</w:t>
      </w:r>
    </w:p>
    <w:p w:rsidR="00FC5943" w:rsidRPr="00FC5943" w:rsidRDefault="00FC5943" w:rsidP="00FC5943">
      <w:pPr>
        <w:pStyle w:val="a6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FC5943">
        <w:rPr>
          <w:color w:val="000000"/>
          <w:sz w:val="28"/>
          <w:szCs w:val="28"/>
        </w:rPr>
        <w:t xml:space="preserve">1. Номера колеров приняты по </w:t>
      </w:r>
      <w:proofErr w:type="spellStart"/>
      <w:r w:rsidRPr="00FC5943">
        <w:rPr>
          <w:color w:val="000000"/>
          <w:sz w:val="28"/>
          <w:szCs w:val="28"/>
        </w:rPr>
        <w:t>Caparol</w:t>
      </w:r>
      <w:proofErr w:type="spellEnd"/>
      <w:r w:rsidRPr="00FC5943">
        <w:rPr>
          <w:color w:val="000000"/>
          <w:sz w:val="28"/>
          <w:szCs w:val="28"/>
        </w:rPr>
        <w:t xml:space="preserve"> 3D </w:t>
      </w:r>
      <w:proofErr w:type="spellStart"/>
      <w:r w:rsidRPr="00FC5943">
        <w:rPr>
          <w:color w:val="000000"/>
          <w:sz w:val="28"/>
          <w:szCs w:val="28"/>
        </w:rPr>
        <w:t>System</w:t>
      </w:r>
      <w:proofErr w:type="spellEnd"/>
      <w:r w:rsidRPr="00FC5943">
        <w:rPr>
          <w:color w:val="000000"/>
          <w:sz w:val="28"/>
          <w:szCs w:val="28"/>
        </w:rPr>
        <w:t xml:space="preserve"> </w:t>
      </w:r>
      <w:proofErr w:type="spellStart"/>
      <w:r w:rsidRPr="00FC5943">
        <w:rPr>
          <w:color w:val="000000"/>
          <w:sz w:val="28"/>
          <w:szCs w:val="28"/>
        </w:rPr>
        <w:t>plus</w:t>
      </w:r>
      <w:proofErr w:type="spellEnd"/>
      <w:r w:rsidRPr="00FC5943">
        <w:rPr>
          <w:color w:val="000000"/>
          <w:sz w:val="28"/>
          <w:szCs w:val="28"/>
        </w:rPr>
        <w:t xml:space="preserve"> с использованием международной системы обозначения цвета RAL, NCS, PANTONE.</w:t>
      </w:r>
    </w:p>
    <w:p w:rsidR="00FC5943" w:rsidRPr="00FC5943" w:rsidRDefault="00FC5943" w:rsidP="00FC5943">
      <w:pPr>
        <w:pStyle w:val="a6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FC5943">
        <w:rPr>
          <w:color w:val="000000"/>
          <w:sz w:val="28"/>
          <w:szCs w:val="28"/>
        </w:rPr>
        <w:t xml:space="preserve">2. Цветовое решение фасадов согласовать с архитектурно-строительным сектором Администрации муниципального образования «Сарапульский район». </w:t>
      </w:r>
    </w:p>
    <w:p w:rsidR="00FC5943" w:rsidRPr="00FC5943" w:rsidRDefault="00FC5943" w:rsidP="00FC5943">
      <w:pPr>
        <w:pStyle w:val="a6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FC5943">
        <w:rPr>
          <w:color w:val="000000"/>
          <w:sz w:val="28"/>
          <w:szCs w:val="28"/>
        </w:rPr>
        <w:t xml:space="preserve">3. </w:t>
      </w:r>
      <w:proofErr w:type="gramStart"/>
      <w:r w:rsidRPr="00FC5943">
        <w:rPr>
          <w:color w:val="000000"/>
          <w:sz w:val="28"/>
          <w:szCs w:val="28"/>
        </w:rPr>
        <w:t xml:space="preserve">Ограждение балконов зданий выполнить из </w:t>
      </w:r>
      <w:proofErr w:type="spellStart"/>
      <w:r w:rsidRPr="00FC5943">
        <w:rPr>
          <w:color w:val="000000"/>
          <w:sz w:val="28"/>
          <w:szCs w:val="28"/>
        </w:rPr>
        <w:t>металлопрофиля</w:t>
      </w:r>
      <w:proofErr w:type="spellEnd"/>
      <w:r w:rsidRPr="00FC5943">
        <w:rPr>
          <w:color w:val="000000"/>
          <w:sz w:val="28"/>
          <w:szCs w:val="28"/>
        </w:rPr>
        <w:t xml:space="preserve"> с мелкой </w:t>
      </w:r>
      <w:proofErr w:type="spellStart"/>
      <w:r w:rsidRPr="00FC5943">
        <w:rPr>
          <w:color w:val="000000"/>
          <w:sz w:val="28"/>
          <w:szCs w:val="28"/>
        </w:rPr>
        <w:t>гофрой</w:t>
      </w:r>
      <w:proofErr w:type="spellEnd"/>
      <w:r w:rsidRPr="00FC5943">
        <w:rPr>
          <w:color w:val="000000"/>
          <w:sz w:val="28"/>
          <w:szCs w:val="28"/>
        </w:rPr>
        <w:t xml:space="preserve"> (не более 1 см.) белого, </w:t>
      </w:r>
      <w:proofErr w:type="spellStart"/>
      <w:r w:rsidRPr="00FC5943">
        <w:rPr>
          <w:color w:val="000000"/>
          <w:sz w:val="28"/>
          <w:szCs w:val="28"/>
        </w:rPr>
        <w:t>светлосерого</w:t>
      </w:r>
      <w:proofErr w:type="spellEnd"/>
      <w:r w:rsidRPr="00FC5943">
        <w:rPr>
          <w:color w:val="000000"/>
          <w:sz w:val="28"/>
          <w:szCs w:val="28"/>
        </w:rPr>
        <w:t xml:space="preserve"> цвета либо в зависимости от выбора цветового решения стен.</w:t>
      </w:r>
      <w:proofErr w:type="gramEnd"/>
    </w:p>
    <w:p w:rsidR="00FC5943" w:rsidRDefault="00FC5943" w:rsidP="00FC5943">
      <w:pPr>
        <w:spacing w:after="180" w:line="240" w:lineRule="auto"/>
        <w:jc w:val="center"/>
        <w:outlineLvl w:val="2"/>
        <w:rPr>
          <w:rFonts w:ascii="Roboto" w:eastAsia="Times New Roman" w:hAnsi="Roboto" w:cs="Times New Roman"/>
          <w:b/>
          <w:bCs/>
          <w:caps/>
          <w:color w:val="083857"/>
          <w:sz w:val="27"/>
          <w:szCs w:val="27"/>
          <w:lang w:eastAsia="ru-RU"/>
        </w:rPr>
      </w:pPr>
    </w:p>
    <w:p w:rsidR="00FC5943" w:rsidRDefault="00FC5943" w:rsidP="00FC5943">
      <w:pPr>
        <w:spacing w:after="180" w:line="240" w:lineRule="auto"/>
        <w:jc w:val="center"/>
        <w:outlineLvl w:val="2"/>
        <w:rPr>
          <w:rFonts w:ascii="Roboto" w:eastAsia="Times New Roman" w:hAnsi="Roboto" w:cs="Times New Roman"/>
          <w:b/>
          <w:bCs/>
          <w:caps/>
          <w:color w:val="083857"/>
          <w:sz w:val="27"/>
          <w:szCs w:val="27"/>
          <w:lang w:eastAsia="ru-RU"/>
        </w:rPr>
      </w:pPr>
    </w:p>
    <w:p w:rsidR="00FC5943" w:rsidRDefault="00FC5943" w:rsidP="00FC5943">
      <w:pPr>
        <w:spacing w:after="180" w:line="240" w:lineRule="auto"/>
        <w:jc w:val="center"/>
        <w:outlineLvl w:val="2"/>
        <w:rPr>
          <w:rFonts w:ascii="Roboto" w:eastAsia="Times New Roman" w:hAnsi="Roboto" w:cs="Times New Roman"/>
          <w:b/>
          <w:bCs/>
          <w:caps/>
          <w:color w:val="083857"/>
          <w:sz w:val="27"/>
          <w:szCs w:val="27"/>
          <w:lang w:eastAsia="ru-RU"/>
        </w:rPr>
      </w:pPr>
    </w:p>
    <w:p w:rsidR="00FC5943" w:rsidRDefault="00FC5943" w:rsidP="00FC5943">
      <w:pPr>
        <w:spacing w:after="180" w:line="240" w:lineRule="auto"/>
        <w:jc w:val="center"/>
        <w:outlineLvl w:val="2"/>
        <w:rPr>
          <w:rFonts w:ascii="Roboto" w:eastAsia="Times New Roman" w:hAnsi="Roboto" w:cs="Times New Roman"/>
          <w:b/>
          <w:bCs/>
          <w:caps/>
          <w:color w:val="083857"/>
          <w:sz w:val="27"/>
          <w:szCs w:val="27"/>
          <w:lang w:eastAsia="ru-RU"/>
        </w:rPr>
      </w:pPr>
    </w:p>
    <w:p w:rsidR="00FC5943" w:rsidRDefault="00FC5943" w:rsidP="00FC5943">
      <w:pPr>
        <w:spacing w:after="180" w:line="240" w:lineRule="auto"/>
        <w:jc w:val="center"/>
        <w:outlineLvl w:val="2"/>
        <w:rPr>
          <w:rFonts w:ascii="Roboto" w:eastAsia="Times New Roman" w:hAnsi="Roboto" w:cs="Times New Roman"/>
          <w:b/>
          <w:bCs/>
          <w:caps/>
          <w:color w:val="083857"/>
          <w:sz w:val="27"/>
          <w:szCs w:val="27"/>
          <w:lang w:eastAsia="ru-RU"/>
        </w:rPr>
      </w:pPr>
    </w:p>
    <w:p w:rsidR="00FC5943" w:rsidRPr="00FC5943" w:rsidRDefault="00FC5943" w:rsidP="00FC5943">
      <w:pPr>
        <w:spacing w:after="180" w:line="240" w:lineRule="auto"/>
        <w:jc w:val="center"/>
        <w:outlineLvl w:val="2"/>
        <w:rPr>
          <w:rFonts w:ascii="Roboto" w:eastAsia="Times New Roman" w:hAnsi="Roboto" w:cs="Times New Roman"/>
          <w:b/>
          <w:bCs/>
          <w:caps/>
          <w:color w:val="083857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bCs/>
          <w:caps/>
          <w:color w:val="083857"/>
          <w:sz w:val="27"/>
          <w:szCs w:val="27"/>
          <w:lang w:eastAsia="ru-RU"/>
        </w:rPr>
        <w:lastRenderedPageBreak/>
        <w:t>вариант 2</w:t>
      </w:r>
    </w:p>
    <w:p w:rsidR="00FC5943" w:rsidRPr="00FC5943" w:rsidRDefault="00FC5943" w:rsidP="00FC5943">
      <w:pPr>
        <w:spacing w:after="0" w:line="288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C5943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3A7E9B" wp14:editId="60180634">
            <wp:extent cx="8801100" cy="2581275"/>
            <wp:effectExtent l="0" t="0" r="0" b="9525"/>
            <wp:docPr id="12" name="Рисунок 12" descr="ТАБЛИЦА КОЛЕРОВ ЦВЕТОВОГО РЕШЕНИЯ ЭЛЕМЕНТОВ ФА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 КОЛЕРОВ ЦВЕТОВОГО РЕШЕНИЯ ЭЛЕМЕНТОВ ФАС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5943" w:rsidRP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Примечание:</w:t>
      </w:r>
    </w:p>
    <w:p w:rsidR="00FC5943" w:rsidRP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Номера колеров приняты по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Caparol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3D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System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plus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международной системы обозначения цвета RAL, NCS, PANTONE.</w:t>
      </w:r>
    </w:p>
    <w:p w:rsidR="00FC5943" w:rsidRP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Цветовое решение фасадов согласовать </w:t>
      </w:r>
      <w:r w:rsidRPr="00FC5943">
        <w:rPr>
          <w:rFonts w:ascii="Times New Roman" w:hAnsi="Times New Roman" w:cs="Times New Roman"/>
          <w:color w:val="000000"/>
          <w:sz w:val="28"/>
          <w:szCs w:val="28"/>
        </w:rPr>
        <w:t>с архитектурно-строительным сектором Администрации муниципального образования «Сарапульский район»</w:t>
      </w:r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балконов зданий выполнить из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металлопрофиля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мелкой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гофрой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1 см.) белого,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светлосерого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943">
        <w:rPr>
          <w:rFonts w:ascii="Times New Roman" w:hAnsi="Times New Roman" w:cs="Times New Roman"/>
          <w:color w:val="000000"/>
          <w:sz w:val="28"/>
          <w:szCs w:val="28"/>
        </w:rPr>
        <w:t>либо в зависимости о</w:t>
      </w:r>
      <w:r>
        <w:rPr>
          <w:rFonts w:ascii="Times New Roman" w:hAnsi="Times New Roman" w:cs="Times New Roman"/>
          <w:color w:val="000000"/>
          <w:sz w:val="28"/>
          <w:szCs w:val="28"/>
        </w:rPr>
        <w:t>т выбора цветового решения стен</w:t>
      </w:r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943" w:rsidRPr="00FC5943" w:rsidRDefault="00FC5943" w:rsidP="00FC5943">
      <w:pPr>
        <w:pStyle w:val="3"/>
        <w:spacing w:before="0" w:after="180"/>
        <w:jc w:val="center"/>
        <w:rPr>
          <w:rFonts w:ascii="Roboto" w:eastAsia="Times New Roman" w:hAnsi="Roboto" w:cs="Times New Roman"/>
          <w:caps/>
          <w:color w:val="083857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3</w:t>
      </w:r>
    </w:p>
    <w:p w:rsidR="00FC5943" w:rsidRPr="00FC5943" w:rsidRDefault="00FC5943" w:rsidP="00FC5943">
      <w:pPr>
        <w:spacing w:after="0" w:line="288" w:lineRule="atLeast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C5943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7BF5D8" wp14:editId="78932F6A">
            <wp:extent cx="8810625" cy="2076450"/>
            <wp:effectExtent l="0" t="0" r="9525" b="0"/>
            <wp:docPr id="22" name="Рисунок 22" descr="ТАБЛИЦА КОЛЕРОВ ЦВЕТОВОГО РЕШЕНИЯ ЭЛЕМЕНТОВ ФА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БЛИЦА КОЛЕРОВ ЦВЕТОВОГО РЕШЕНИЯ ЭЛЕМЕНТОВ ФАСА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C5943" w:rsidRP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Примечание:</w:t>
      </w:r>
    </w:p>
    <w:p w:rsidR="00FC5943" w:rsidRP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Номера колеров приняты по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Caparol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3D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System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plus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международной системы обозначения цвета RAL, NCS, PANTONE.</w:t>
      </w:r>
    </w:p>
    <w:p w:rsidR="00FC5943" w:rsidRP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Цветовое решение фасадов согласовать </w:t>
      </w:r>
      <w:r w:rsidRPr="00FC5943">
        <w:rPr>
          <w:rFonts w:ascii="Times New Roman" w:hAnsi="Times New Roman" w:cs="Times New Roman"/>
          <w:color w:val="000000"/>
          <w:sz w:val="28"/>
          <w:szCs w:val="28"/>
        </w:rPr>
        <w:t>с архитектурно-строительным сектором Администрации муниципального образования «Сарапульский район»</w:t>
      </w:r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Ограждение балконов зданий выполнить из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металлопрофиля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мелкой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гофрой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1 см.) белого, </w:t>
      </w:r>
      <w:proofErr w:type="spellStart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светлосерого</w:t>
      </w:r>
      <w:proofErr w:type="spellEnd"/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943">
        <w:rPr>
          <w:rFonts w:ascii="Times New Roman" w:hAnsi="Times New Roman" w:cs="Times New Roman"/>
          <w:color w:val="000000"/>
          <w:sz w:val="28"/>
          <w:szCs w:val="28"/>
        </w:rPr>
        <w:t>либо в зависимости о</w:t>
      </w:r>
      <w:r>
        <w:rPr>
          <w:rFonts w:ascii="Times New Roman" w:hAnsi="Times New Roman" w:cs="Times New Roman"/>
          <w:color w:val="000000"/>
          <w:sz w:val="28"/>
          <w:szCs w:val="28"/>
        </w:rPr>
        <w:t>т выбора цветового решения стен</w:t>
      </w:r>
      <w:r w:rsidRPr="00FC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C5943" w:rsidRPr="00FC5943" w:rsidRDefault="00FC5943" w:rsidP="00FC59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3794" w:rsidRDefault="00113794"/>
    <w:sectPr w:rsidR="00113794" w:rsidSect="000D495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61"/>
    <w:rsid w:val="000D4952"/>
    <w:rsid w:val="00113794"/>
    <w:rsid w:val="001F79CC"/>
    <w:rsid w:val="00670161"/>
    <w:rsid w:val="00850377"/>
    <w:rsid w:val="008E6FA8"/>
    <w:rsid w:val="00D458D0"/>
    <w:rsid w:val="00EE3F2A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6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C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594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C59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9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6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C5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C594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C59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2015-11-18T07:25:00Z</dcterms:created>
  <dcterms:modified xsi:type="dcterms:W3CDTF">2015-11-18T08:36:00Z</dcterms:modified>
</cp:coreProperties>
</file>